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9A4B43" w14:textId="66F70E97" w:rsidR="00B168F8" w:rsidRPr="00B168F8" w:rsidRDefault="00B168F8" w:rsidP="00E52AD8">
      <w:pPr>
        <w:pStyle w:val="a4"/>
        <w:shd w:val="clear" w:color="auto" w:fill="FFFFFF"/>
        <w:spacing w:before="0" w:beforeAutospacing="0" w:after="120" w:afterAutospacing="0" w:line="360" w:lineRule="auto"/>
        <w:jc w:val="center"/>
        <w:textAlignment w:val="baseline"/>
        <w:rPr>
          <w:rFonts w:ascii="黑体" w:eastAsia="黑体" w:hAnsi="黑体" w:cs="Times New Roman" w:hint="eastAsia"/>
          <w:b/>
          <w:bCs/>
          <w:color w:val="1A2029"/>
          <w:sz w:val="28"/>
          <w:szCs w:val="28"/>
        </w:rPr>
      </w:pPr>
      <w:r>
        <w:rPr>
          <w:rFonts w:ascii="黑体" w:eastAsia="黑体" w:hAnsi="黑体" w:cs="Times New Roman" w:hint="eastAsia"/>
          <w:b/>
          <w:bCs/>
          <w:color w:val="1A2029"/>
          <w:sz w:val="28"/>
          <w:szCs w:val="28"/>
        </w:rPr>
        <w:t>东川站</w:t>
      </w:r>
      <w:r w:rsidRPr="00B168F8">
        <w:rPr>
          <w:rFonts w:ascii="黑体" w:eastAsia="黑体" w:hAnsi="黑体" w:cs="Times New Roman" w:hint="eastAsia"/>
          <w:b/>
          <w:bCs/>
          <w:color w:val="1A2029"/>
          <w:sz w:val="28"/>
          <w:szCs w:val="28"/>
        </w:rPr>
        <w:t>泥石流颗粒级配分析方法</w:t>
      </w:r>
    </w:p>
    <w:p w14:paraId="01CC920C" w14:textId="200B893D" w:rsidR="00375AB0" w:rsidRDefault="00B168F8" w:rsidP="00375AB0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r w:rsidRPr="00E52AD8">
        <w:rPr>
          <w:rFonts w:ascii="Times New Roman" w:hAnsi="Times New Roman" w:cs="Times New Roman" w:hint="eastAsia"/>
          <w:b/>
          <w:bCs/>
          <w:color w:val="1A2029"/>
          <w:sz w:val="23"/>
          <w:szCs w:val="23"/>
        </w:rPr>
        <w:t>泥石流样品采集方式</w:t>
      </w:r>
      <w:r w:rsidR="00E52AD8">
        <w:rPr>
          <w:rFonts w:ascii="Times New Roman" w:hAnsi="Times New Roman" w:cs="Times New Roman" w:hint="eastAsia"/>
          <w:color w:val="1A2029"/>
          <w:sz w:val="23"/>
          <w:szCs w:val="23"/>
        </w:rPr>
        <w:t>：</w:t>
      </w:r>
    </w:p>
    <w:p w14:paraId="56B9CBE5" w14:textId="54266966" w:rsidR="00375AB0" w:rsidRDefault="00B168F8" w:rsidP="00672E86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proofErr w:type="gramStart"/>
      <w:r>
        <w:rPr>
          <w:rFonts w:ascii="Times New Roman" w:hAnsi="Times New Roman" w:cs="Times New Roman" w:hint="eastAsia"/>
          <w:color w:val="1A2029"/>
          <w:sz w:val="23"/>
          <w:szCs w:val="23"/>
        </w:rPr>
        <w:t>铅鱼采样</w:t>
      </w:r>
      <w:proofErr w:type="gramEnd"/>
      <w:r w:rsidR="00375AB0">
        <w:rPr>
          <w:rFonts w:ascii="Times New Roman" w:hAnsi="Times New Roman" w:cs="Times New Roman" w:hint="eastAsia"/>
          <w:color w:val="1A2029"/>
          <w:sz w:val="23"/>
          <w:szCs w:val="23"/>
        </w:rPr>
        <w:t>: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通过采样平台控制悬挂于采样缆道</w:t>
      </w:r>
      <w:proofErr w:type="gramStart"/>
      <w:r>
        <w:rPr>
          <w:rFonts w:ascii="Times New Roman" w:hAnsi="Times New Roman" w:cs="Times New Roman" w:hint="eastAsia"/>
          <w:color w:val="1A2029"/>
          <w:sz w:val="23"/>
          <w:szCs w:val="23"/>
        </w:rPr>
        <w:t>的铅鱼采集</w:t>
      </w:r>
      <w:proofErr w:type="gramEnd"/>
      <w:r>
        <w:rPr>
          <w:rFonts w:ascii="Times New Roman" w:hAnsi="Times New Roman" w:cs="Times New Roman" w:hint="eastAsia"/>
          <w:color w:val="1A2029"/>
          <w:sz w:val="23"/>
          <w:szCs w:val="23"/>
        </w:rPr>
        <w:t>泥石流活体样品，</w:t>
      </w:r>
      <w:proofErr w:type="gramStart"/>
      <w:r>
        <w:rPr>
          <w:rFonts w:ascii="Times New Roman" w:hAnsi="Times New Roman" w:cs="Times New Roman" w:hint="eastAsia"/>
          <w:color w:val="1A2029"/>
          <w:sz w:val="23"/>
          <w:szCs w:val="23"/>
        </w:rPr>
        <w:t>铅鱼内</w:t>
      </w:r>
      <w:proofErr w:type="gramEnd"/>
      <w:r>
        <w:rPr>
          <w:rFonts w:ascii="Times New Roman" w:hAnsi="Times New Roman" w:cs="Times New Roman" w:hint="eastAsia"/>
          <w:color w:val="1A2029"/>
          <w:sz w:val="23"/>
          <w:szCs w:val="23"/>
        </w:rPr>
        <w:t>采样圆桶</w:t>
      </w:r>
      <w:r w:rsidR="0033236D">
        <w:rPr>
          <w:rFonts w:ascii="Times New Roman" w:hAnsi="Times New Roman" w:cs="Times New Roman" w:hint="eastAsia"/>
          <w:color w:val="1A2029"/>
          <w:sz w:val="23"/>
          <w:szCs w:val="23"/>
        </w:rPr>
        <w:t>内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径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1</w:t>
      </w:r>
      <w:r w:rsidR="0033236D">
        <w:rPr>
          <w:rFonts w:ascii="Times New Roman" w:hAnsi="Times New Roman" w:cs="Times New Roman" w:hint="eastAsia"/>
          <w:color w:val="1A2029"/>
          <w:sz w:val="23"/>
          <w:szCs w:val="23"/>
        </w:rPr>
        <w:t>8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cm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，</w:t>
      </w:r>
      <w:r w:rsidR="0033236D">
        <w:rPr>
          <w:rFonts w:ascii="Times New Roman" w:hAnsi="Times New Roman" w:cs="Times New Roman" w:hint="eastAsia"/>
          <w:color w:val="1A2029"/>
          <w:sz w:val="23"/>
          <w:szCs w:val="23"/>
        </w:rPr>
        <w:t>高度</w:t>
      </w:r>
      <w:r w:rsidR="0033236D">
        <w:rPr>
          <w:rFonts w:ascii="Times New Roman" w:hAnsi="Times New Roman" w:cs="Times New Roman" w:hint="eastAsia"/>
          <w:color w:val="1A2029"/>
          <w:sz w:val="23"/>
          <w:szCs w:val="23"/>
        </w:rPr>
        <w:t>49cm</w:t>
      </w:r>
      <w:r w:rsidR="00DB60C2">
        <w:rPr>
          <w:rFonts w:ascii="Times New Roman" w:hAnsi="Times New Roman" w:cs="Times New Roman" w:hint="eastAsia"/>
          <w:color w:val="1A2029"/>
          <w:sz w:val="23"/>
          <w:szCs w:val="23"/>
        </w:rPr>
        <w:t>，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体积</w:t>
      </w:r>
      <w:r w:rsidR="0033236D">
        <w:rPr>
          <w:rFonts w:ascii="Times New Roman" w:hAnsi="Times New Roman" w:cs="Times New Roman" w:hint="eastAsia"/>
          <w:color w:val="1A2029"/>
          <w:sz w:val="23"/>
          <w:szCs w:val="23"/>
        </w:rPr>
        <w:t>12.47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L</w:t>
      </w:r>
      <w:r w:rsidR="00375AB0">
        <w:rPr>
          <w:rFonts w:ascii="Times New Roman" w:hAnsi="Times New Roman" w:cs="Times New Roman" w:hint="eastAsia"/>
          <w:color w:val="1A2029"/>
          <w:sz w:val="23"/>
          <w:szCs w:val="23"/>
        </w:rPr>
        <w:t>。</w:t>
      </w:r>
    </w:p>
    <w:p w14:paraId="6BAD405E" w14:textId="30CFE157" w:rsidR="00B168F8" w:rsidRDefault="00B168F8" w:rsidP="00672E86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r>
        <w:rPr>
          <w:rFonts w:ascii="Times New Roman" w:hAnsi="Times New Roman" w:cs="Times New Roman" w:hint="eastAsia"/>
          <w:color w:val="1A2029"/>
          <w:sz w:val="23"/>
          <w:szCs w:val="23"/>
        </w:rPr>
        <w:t>人工采样</w:t>
      </w:r>
      <w:r w:rsidR="00375AB0">
        <w:rPr>
          <w:rFonts w:ascii="Times New Roman" w:hAnsi="Times New Roman" w:cs="Times New Roman" w:hint="eastAsia"/>
          <w:color w:val="1A2029"/>
          <w:sz w:val="23"/>
          <w:szCs w:val="23"/>
        </w:rPr>
        <w:t>：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使用圆形或正方形铁桶采样，体积分别为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15.5L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、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9L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。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 xml:space="preserve"> </w:t>
      </w:r>
    </w:p>
    <w:p w14:paraId="74EB39D6" w14:textId="7F16B63B" w:rsidR="00375AB0" w:rsidRDefault="00E52AD8" w:rsidP="00375AB0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r w:rsidRPr="00E52AD8">
        <w:rPr>
          <w:rFonts w:ascii="Times New Roman" w:hAnsi="Times New Roman" w:cs="Times New Roman" w:hint="eastAsia"/>
          <w:b/>
          <w:bCs/>
          <w:color w:val="1A2029"/>
          <w:sz w:val="23"/>
          <w:szCs w:val="23"/>
        </w:rPr>
        <w:t>泥沙颗粒分析方法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：</w:t>
      </w:r>
    </w:p>
    <w:p w14:paraId="5C3FE31C" w14:textId="4D23B1A1" w:rsidR="00375AB0" w:rsidRDefault="001F2D9B" w:rsidP="00672E86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r>
        <w:rPr>
          <w:rFonts w:ascii="Times New Roman" w:hAnsi="Times New Roman" w:cs="Times New Roman" w:hint="eastAsia"/>
          <w:color w:val="1A2029"/>
          <w:sz w:val="23"/>
          <w:szCs w:val="23"/>
        </w:rPr>
        <w:t>粒径大于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0.25mm</w:t>
      </w:r>
      <w:r w:rsidR="00375AB0">
        <w:rPr>
          <w:rFonts w:ascii="Times New Roman" w:hAnsi="Times New Roman" w:cs="Times New Roman" w:hint="eastAsia"/>
          <w:color w:val="1A2029"/>
          <w:sz w:val="23"/>
          <w:szCs w:val="23"/>
        </w:rPr>
        <w:t>泥沙：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筛分法</w:t>
      </w:r>
    </w:p>
    <w:p w14:paraId="6B7F5906" w14:textId="0F7F0AF2" w:rsidR="00B168F8" w:rsidRDefault="001F2D9B" w:rsidP="00672E86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r>
        <w:rPr>
          <w:rFonts w:ascii="Times New Roman" w:hAnsi="Times New Roman" w:cs="Times New Roman" w:hint="eastAsia"/>
          <w:color w:val="1A2029"/>
          <w:sz w:val="23"/>
          <w:szCs w:val="23"/>
        </w:rPr>
        <w:t>粒径小于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0.25mm</w:t>
      </w:r>
      <w:r w:rsidR="00375AB0">
        <w:rPr>
          <w:rFonts w:ascii="Times New Roman" w:hAnsi="Times New Roman" w:cs="Times New Roman" w:hint="eastAsia"/>
          <w:color w:val="1A2029"/>
          <w:sz w:val="23"/>
          <w:szCs w:val="23"/>
        </w:rPr>
        <w:t>泥沙：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2004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年前使用比重计法，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2004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年之后使用马尔文激光粒度仪（型号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MS2000</w:t>
      </w:r>
      <w:r>
        <w:rPr>
          <w:rFonts w:ascii="Times New Roman" w:hAnsi="Times New Roman" w:cs="Times New Roman" w:hint="eastAsia"/>
          <w:color w:val="1A2029"/>
          <w:sz w:val="23"/>
          <w:szCs w:val="23"/>
        </w:rPr>
        <w:t>）分析。</w:t>
      </w:r>
    </w:p>
    <w:p w14:paraId="500E90DC" w14:textId="18D6A726" w:rsidR="00E52AD8" w:rsidRDefault="00771BD0" w:rsidP="00E52AD8">
      <w:pPr>
        <w:pStyle w:val="a4"/>
        <w:shd w:val="clear" w:color="auto" w:fill="FFFFFF"/>
        <w:spacing w:before="0" w:beforeAutospacing="0" w:after="0" w:afterAutospacing="0"/>
        <w:jc w:val="center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r>
        <w:rPr>
          <w:rFonts w:ascii="Times New Roman" w:hAnsi="Times New Roman" w:cs="Times New Roman"/>
          <w:noProof/>
          <w:color w:val="1A2029"/>
          <w:sz w:val="23"/>
          <w:szCs w:val="23"/>
        </w:rPr>
        <w:drawing>
          <wp:inline distT="0" distB="0" distL="0" distR="0" wp14:anchorId="7DD709AF" wp14:editId="2128B370">
            <wp:extent cx="3680749" cy="2760783"/>
            <wp:effectExtent l="0" t="0" r="0" b="1905"/>
            <wp:docPr id="11855906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590634" name="图片 118559063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9963" cy="2767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25197" w14:textId="5FE47A0E" w:rsidR="00E52AD8" w:rsidRDefault="00E52AD8" w:rsidP="00E52AD8">
      <w:pPr>
        <w:pStyle w:val="a4"/>
        <w:shd w:val="clear" w:color="auto" w:fill="FFFFFF"/>
        <w:spacing w:before="0" w:beforeAutospacing="0" w:after="0" w:afterAutospacing="0"/>
        <w:jc w:val="center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proofErr w:type="gramStart"/>
      <w:r>
        <w:rPr>
          <w:rFonts w:ascii="Times New Roman" w:hAnsi="Times New Roman" w:cs="Times New Roman" w:hint="eastAsia"/>
          <w:color w:val="1A2029"/>
          <w:sz w:val="23"/>
          <w:szCs w:val="23"/>
        </w:rPr>
        <w:t>铅鱼采样</w:t>
      </w:r>
      <w:proofErr w:type="gramEnd"/>
    </w:p>
    <w:p w14:paraId="25340760" w14:textId="39F51252" w:rsidR="00E52AD8" w:rsidRDefault="00E52AD8" w:rsidP="0074571E">
      <w:pPr>
        <w:pStyle w:val="a4"/>
        <w:shd w:val="clear" w:color="auto" w:fill="FFFFFF"/>
        <w:spacing w:before="0" w:beforeAutospacing="0" w:after="0" w:afterAutospacing="0"/>
        <w:jc w:val="center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r>
        <w:rPr>
          <w:rFonts w:ascii="Times New Roman" w:hAnsi="Times New Roman" w:cs="Times New Roman"/>
          <w:noProof/>
          <w:color w:val="1A2029"/>
          <w:sz w:val="23"/>
          <w:szCs w:val="23"/>
        </w:rPr>
        <w:drawing>
          <wp:inline distT="0" distB="0" distL="0" distR="0" wp14:anchorId="25102E38" wp14:editId="1AD9F899">
            <wp:extent cx="4473643" cy="2516356"/>
            <wp:effectExtent l="0" t="0" r="3175" b="0"/>
            <wp:docPr id="66754894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548949" name="图片 66754894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5595" cy="2528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385EC" w14:textId="116ED532" w:rsidR="00E52AD8" w:rsidRDefault="00E52AD8" w:rsidP="00E52AD8">
      <w:pPr>
        <w:pStyle w:val="a4"/>
        <w:shd w:val="clear" w:color="auto" w:fill="FFFFFF"/>
        <w:spacing w:before="0" w:beforeAutospacing="0" w:after="0" w:afterAutospacing="0"/>
        <w:jc w:val="center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r>
        <w:rPr>
          <w:rFonts w:ascii="Times New Roman" w:hAnsi="Times New Roman" w:cs="Times New Roman" w:hint="eastAsia"/>
          <w:color w:val="1A2029"/>
          <w:sz w:val="23"/>
          <w:szCs w:val="23"/>
        </w:rPr>
        <w:t>人工采样</w:t>
      </w:r>
    </w:p>
    <w:p w14:paraId="4B9687FC" w14:textId="382F4E7D" w:rsidR="00B168F8" w:rsidRDefault="0040429B" w:rsidP="00E52AD8">
      <w:pPr>
        <w:spacing w:line="360" w:lineRule="auto"/>
        <w:jc w:val="center"/>
        <w:rPr>
          <w:bCs/>
          <w:sz w:val="21"/>
        </w:rPr>
      </w:pPr>
      <w:r>
        <w:rPr>
          <w:bCs/>
          <w:noProof/>
          <w:sz w:val="21"/>
        </w:rPr>
        <w:lastRenderedPageBreak/>
        <w:drawing>
          <wp:inline distT="0" distB="0" distL="0" distR="0" wp14:anchorId="09E2D2FA" wp14:editId="30E6F269">
            <wp:extent cx="4340720" cy="2821022"/>
            <wp:effectExtent l="0" t="0" r="3175" b="0"/>
            <wp:docPr id="16797315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731501" name="图片 1679731501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11" r="12893" b="6314"/>
                    <a:stretch/>
                  </pic:blipFill>
                  <pic:spPr bwMode="auto">
                    <a:xfrm>
                      <a:off x="0" y="0"/>
                      <a:ext cx="4361638" cy="2834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4544C7" w14:textId="78262E91" w:rsidR="00E52AD8" w:rsidRPr="00B168F8" w:rsidRDefault="00E52AD8" w:rsidP="00E52AD8">
      <w:pPr>
        <w:spacing w:line="360" w:lineRule="auto"/>
        <w:jc w:val="center"/>
        <w:rPr>
          <w:bCs/>
          <w:sz w:val="21"/>
        </w:rPr>
      </w:pPr>
      <w:r>
        <w:rPr>
          <w:rFonts w:hint="eastAsia"/>
          <w:bCs/>
          <w:sz w:val="21"/>
        </w:rPr>
        <w:t>马尔文激光粒度仪</w:t>
      </w:r>
    </w:p>
    <w:p w14:paraId="3F08007B" w14:textId="77777777" w:rsidR="008043BE" w:rsidRPr="00BD3413" w:rsidRDefault="008043BE" w:rsidP="008043BE">
      <w:pPr>
        <w:spacing w:line="360" w:lineRule="auto"/>
        <w:rPr>
          <w:rFonts w:ascii="宋体" w:hAnsi="宋体" w:hint="eastAsia"/>
          <w:b/>
          <w:color w:val="000000" w:themeColor="text1"/>
          <w:szCs w:val="21"/>
        </w:rPr>
      </w:pPr>
      <w:bookmarkStart w:id="0" w:name="_Hlk179384291"/>
      <w:r w:rsidRPr="00BD3413">
        <w:rPr>
          <w:rFonts w:ascii="宋体" w:hAnsi="宋体" w:hint="eastAsia"/>
          <w:b/>
          <w:color w:val="000000" w:themeColor="text1"/>
          <w:szCs w:val="21"/>
        </w:rPr>
        <w:t>备注：</w:t>
      </w:r>
    </w:p>
    <w:p w14:paraId="31073C29" w14:textId="29B088AF" w:rsidR="008043BE" w:rsidRPr="00126256" w:rsidRDefault="008043BE" w:rsidP="008043BE">
      <w:pPr>
        <w:spacing w:line="360" w:lineRule="auto"/>
        <w:rPr>
          <w:bCs/>
          <w:color w:val="000000" w:themeColor="text1"/>
          <w:szCs w:val="21"/>
        </w:rPr>
      </w:pPr>
      <w:r w:rsidRPr="00126256">
        <w:rPr>
          <w:rFonts w:hint="eastAsia"/>
          <w:bCs/>
          <w:color w:val="000000" w:themeColor="text1"/>
          <w:szCs w:val="21"/>
        </w:rPr>
        <w:t>（</w:t>
      </w:r>
      <w:r w:rsidRPr="00126256">
        <w:rPr>
          <w:rFonts w:hint="eastAsia"/>
          <w:bCs/>
          <w:color w:val="000000" w:themeColor="text1"/>
          <w:szCs w:val="21"/>
        </w:rPr>
        <w:t>1</w:t>
      </w:r>
      <w:r w:rsidRPr="00126256">
        <w:rPr>
          <w:rFonts w:hint="eastAsia"/>
          <w:bCs/>
          <w:color w:val="000000" w:themeColor="text1"/>
          <w:szCs w:val="21"/>
        </w:rPr>
        <w:t>）请在论文发表、专利申请、专著出版等工作中标注数据来源，并在公开发表的中文出版物的致谢部分标明“感谢中国科学院东川泥石流观测研究站为本研究提供了相关数据”，在英文论文致谢部分标明“</w:t>
      </w:r>
      <w:proofErr w:type="spellStart"/>
      <w:r w:rsidRPr="00126256">
        <w:rPr>
          <w:rFonts w:hint="eastAsia"/>
          <w:bCs/>
          <w:color w:val="000000" w:themeColor="text1"/>
          <w:szCs w:val="21"/>
        </w:rPr>
        <w:t>Dongchuan</w:t>
      </w:r>
      <w:proofErr w:type="spellEnd"/>
      <w:r w:rsidRPr="00126256">
        <w:rPr>
          <w:rFonts w:hint="eastAsia"/>
          <w:bCs/>
          <w:color w:val="000000" w:themeColor="text1"/>
          <w:szCs w:val="21"/>
        </w:rPr>
        <w:t xml:space="preserve"> Debris Flow Observation and Research Station (DDFORS), Chinese Academy of Sciences, which provided the field observation data for this study.</w:t>
      </w:r>
      <w:r w:rsidRPr="00126256">
        <w:rPr>
          <w:rFonts w:hint="eastAsia"/>
          <w:bCs/>
          <w:color w:val="000000" w:themeColor="text1"/>
          <w:szCs w:val="21"/>
        </w:rPr>
        <w:t>”</w:t>
      </w:r>
      <w:r w:rsidRPr="00126256">
        <w:rPr>
          <w:rFonts w:hint="eastAsia"/>
          <w:bCs/>
          <w:color w:val="000000" w:themeColor="text1"/>
          <w:szCs w:val="21"/>
        </w:rPr>
        <w:t>.</w:t>
      </w:r>
    </w:p>
    <w:p w14:paraId="7D9BC3B0" w14:textId="77777777" w:rsidR="008043BE" w:rsidRPr="00126256" w:rsidRDefault="008043BE" w:rsidP="008043BE">
      <w:pPr>
        <w:spacing w:line="360" w:lineRule="auto"/>
        <w:rPr>
          <w:bCs/>
          <w:color w:val="000000" w:themeColor="text1"/>
          <w:szCs w:val="21"/>
        </w:rPr>
      </w:pPr>
      <w:r w:rsidRPr="00126256">
        <w:rPr>
          <w:rFonts w:hint="eastAsia"/>
          <w:bCs/>
          <w:color w:val="000000" w:themeColor="text1"/>
          <w:szCs w:val="21"/>
        </w:rPr>
        <w:t>（</w:t>
      </w:r>
      <w:r w:rsidRPr="00126256">
        <w:rPr>
          <w:rFonts w:hint="eastAsia"/>
          <w:bCs/>
          <w:color w:val="000000" w:themeColor="text1"/>
          <w:szCs w:val="21"/>
        </w:rPr>
        <w:t>2</w:t>
      </w:r>
      <w:r w:rsidRPr="00126256">
        <w:rPr>
          <w:rFonts w:hint="eastAsia"/>
          <w:bCs/>
          <w:color w:val="000000" w:themeColor="text1"/>
          <w:szCs w:val="21"/>
        </w:rPr>
        <w:t>）更多详细信息见东川站网页（中文网站</w:t>
      </w:r>
      <w:r w:rsidRPr="00126256">
        <w:rPr>
          <w:rFonts w:hint="eastAsia"/>
          <w:bCs/>
          <w:color w:val="000000" w:themeColor="text1"/>
          <w:szCs w:val="21"/>
        </w:rPr>
        <w:t>http://nsl.imde.ac.cn/</w:t>
      </w:r>
      <w:r w:rsidRPr="00126256">
        <w:rPr>
          <w:rFonts w:hint="eastAsia"/>
          <w:bCs/>
          <w:color w:val="000000" w:themeColor="text1"/>
          <w:szCs w:val="21"/>
        </w:rPr>
        <w:t>；英文网站</w:t>
      </w:r>
      <w:r w:rsidRPr="00126256">
        <w:rPr>
          <w:rFonts w:hint="eastAsia"/>
          <w:bCs/>
          <w:color w:val="000000" w:themeColor="text1"/>
          <w:szCs w:val="21"/>
        </w:rPr>
        <w:t>http://nsl.imde.ac.cn/en/</w:t>
      </w:r>
      <w:r w:rsidRPr="00126256">
        <w:rPr>
          <w:rFonts w:hint="eastAsia"/>
          <w:bCs/>
          <w:color w:val="000000" w:themeColor="text1"/>
          <w:szCs w:val="21"/>
        </w:rPr>
        <w:t>）</w:t>
      </w:r>
      <w:r w:rsidRPr="00126256">
        <w:rPr>
          <w:rFonts w:hint="eastAsia"/>
          <w:bCs/>
          <w:color w:val="000000" w:themeColor="text1"/>
          <w:szCs w:val="21"/>
        </w:rPr>
        <w:t>.</w:t>
      </w:r>
    </w:p>
    <w:p w14:paraId="5BAF2C20" w14:textId="77777777" w:rsidR="008043BE" w:rsidRPr="00126256" w:rsidRDefault="008043BE" w:rsidP="008043BE">
      <w:pPr>
        <w:spacing w:line="360" w:lineRule="auto"/>
        <w:rPr>
          <w:bCs/>
          <w:color w:val="000000" w:themeColor="text1"/>
          <w:szCs w:val="21"/>
        </w:rPr>
        <w:sectPr w:rsidR="008043BE" w:rsidRPr="00126256" w:rsidSect="008043BE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126256">
        <w:rPr>
          <w:rFonts w:hint="eastAsia"/>
          <w:bCs/>
          <w:color w:val="000000" w:themeColor="text1"/>
          <w:szCs w:val="21"/>
        </w:rPr>
        <w:t>（</w:t>
      </w:r>
      <w:r w:rsidRPr="00126256">
        <w:rPr>
          <w:rFonts w:hint="eastAsia"/>
          <w:bCs/>
          <w:color w:val="000000" w:themeColor="text1"/>
          <w:szCs w:val="21"/>
        </w:rPr>
        <w:t>3</w:t>
      </w:r>
      <w:r w:rsidRPr="00126256">
        <w:rPr>
          <w:rFonts w:hint="eastAsia"/>
          <w:bCs/>
          <w:color w:val="000000" w:themeColor="text1"/>
          <w:szCs w:val="21"/>
        </w:rPr>
        <w:t>）数据问题可联系魏丽（</w:t>
      </w:r>
      <w:r w:rsidRPr="00126256">
        <w:rPr>
          <w:rFonts w:hint="eastAsia"/>
          <w:bCs/>
          <w:color w:val="000000" w:themeColor="text1"/>
          <w:szCs w:val="21"/>
        </w:rPr>
        <w:t>weili@imde.ac.cn</w:t>
      </w:r>
      <w:r w:rsidRPr="00126256">
        <w:rPr>
          <w:rFonts w:hint="eastAsia"/>
          <w:bCs/>
          <w:color w:val="000000" w:themeColor="text1"/>
          <w:szCs w:val="21"/>
        </w:rPr>
        <w:t>）和宋东日（</w:t>
      </w:r>
      <w:r w:rsidRPr="00126256">
        <w:rPr>
          <w:rFonts w:hint="eastAsia"/>
          <w:bCs/>
          <w:color w:val="000000" w:themeColor="text1"/>
          <w:szCs w:val="21"/>
        </w:rPr>
        <w:t>drsong@imde.ac.cn</w:t>
      </w:r>
      <w:r w:rsidRPr="00126256">
        <w:rPr>
          <w:rFonts w:hint="eastAsia"/>
          <w:bCs/>
          <w:color w:val="000000" w:themeColor="text1"/>
          <w:szCs w:val="21"/>
        </w:rPr>
        <w:t>）</w:t>
      </w:r>
      <w:r w:rsidRPr="00126256">
        <w:rPr>
          <w:rFonts w:hint="eastAsia"/>
          <w:bCs/>
          <w:color w:val="000000" w:themeColor="text1"/>
          <w:szCs w:val="21"/>
        </w:rPr>
        <w:t>.</w:t>
      </w:r>
    </w:p>
    <w:p w14:paraId="205AEC7A" w14:textId="39AE8518" w:rsidR="00AC3227" w:rsidRPr="00AC3227" w:rsidRDefault="00375AB0" w:rsidP="00982CE2">
      <w:pPr>
        <w:pStyle w:val="3"/>
        <w:spacing w:before="300" w:beforeAutospacing="0" w:after="150" w:afterAutospacing="0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" w:name="OLE_LINK1"/>
      <w:bookmarkEnd w:id="0"/>
      <w:r w:rsidRPr="00AC3227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Debris</w:t>
      </w:r>
      <w:r w:rsidR="00E040A3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AC3227">
        <w:rPr>
          <w:rFonts w:ascii="Times New Roman" w:hAnsi="Times New Roman" w:cs="Times New Roman"/>
          <w:color w:val="000000" w:themeColor="text1"/>
          <w:sz w:val="28"/>
          <w:szCs w:val="28"/>
        </w:rPr>
        <w:t>Flow Particle Size Distribution</w:t>
      </w:r>
      <w:bookmarkEnd w:id="1"/>
      <w:r w:rsidRPr="00AC322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Analysis Method </w:t>
      </w:r>
      <w:r w:rsidR="00E040A3">
        <w:rPr>
          <w:rFonts w:ascii="Times New Roman" w:hAnsi="Times New Roman" w:cs="Times New Roman"/>
          <w:color w:val="000000" w:themeColor="text1"/>
          <w:sz w:val="28"/>
          <w:szCs w:val="28"/>
        </w:rPr>
        <w:t>at</w:t>
      </w:r>
      <w:r w:rsidR="00797A2D">
        <w:rPr>
          <w:rFonts w:ascii="Times New Roman" w:hAnsi="Times New Roman" w:cs="Times New Roman" w:hint="eastAsia"/>
          <w:color w:val="000000" w:themeColor="text1"/>
          <w:sz w:val="28"/>
          <w:szCs w:val="28"/>
        </w:rPr>
        <w:t xml:space="preserve"> </w:t>
      </w:r>
      <w:proofErr w:type="spellStart"/>
      <w:r w:rsidR="00797A2D">
        <w:rPr>
          <w:rFonts w:ascii="Times New Roman" w:hAnsi="Times New Roman" w:cs="Times New Roman" w:hint="eastAsia"/>
          <w:color w:val="000000" w:themeColor="text1"/>
          <w:sz w:val="28"/>
          <w:szCs w:val="28"/>
        </w:rPr>
        <w:t>Jiangjia</w:t>
      </w:r>
      <w:proofErr w:type="spellEnd"/>
      <w:r w:rsidRPr="00AC322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E040A3">
        <w:rPr>
          <w:rFonts w:ascii="Times New Roman" w:hAnsi="Times New Roman" w:cs="Times New Roman"/>
          <w:color w:val="000000" w:themeColor="text1"/>
          <w:sz w:val="28"/>
          <w:szCs w:val="28"/>
        </w:rPr>
        <w:t>Ravine</w:t>
      </w:r>
    </w:p>
    <w:p w14:paraId="26EE2958" w14:textId="7734BF5C" w:rsidR="00375AB0" w:rsidRPr="002C09F5" w:rsidRDefault="00375AB0" w:rsidP="002C09F5">
      <w:pPr>
        <w:pStyle w:val="aa"/>
        <w:widowControl/>
        <w:numPr>
          <w:ilvl w:val="0"/>
          <w:numId w:val="2"/>
        </w:numPr>
        <w:spacing w:line="360" w:lineRule="auto"/>
        <w:ind w:firstLineChars="0"/>
        <w:rPr>
          <w:b/>
          <w:bCs/>
          <w:color w:val="000000" w:themeColor="text1"/>
          <w:kern w:val="0"/>
        </w:rPr>
      </w:pPr>
      <w:bookmarkStart w:id="2" w:name="OLE_LINK2"/>
      <w:r w:rsidRPr="002C09F5">
        <w:rPr>
          <w:b/>
          <w:bCs/>
          <w:color w:val="000000" w:themeColor="text1"/>
          <w:kern w:val="0"/>
        </w:rPr>
        <w:t>Debris</w:t>
      </w:r>
      <w:r w:rsidR="00E040A3" w:rsidRPr="002C09F5">
        <w:rPr>
          <w:b/>
          <w:bCs/>
          <w:color w:val="000000" w:themeColor="text1"/>
          <w:kern w:val="0"/>
        </w:rPr>
        <w:t>-</w:t>
      </w:r>
      <w:r w:rsidR="00A25DE2" w:rsidRPr="002C09F5">
        <w:rPr>
          <w:rFonts w:hint="eastAsia"/>
          <w:b/>
          <w:bCs/>
          <w:color w:val="000000" w:themeColor="text1"/>
          <w:kern w:val="0"/>
        </w:rPr>
        <w:t>f</w:t>
      </w:r>
      <w:r w:rsidRPr="002C09F5">
        <w:rPr>
          <w:b/>
          <w:bCs/>
          <w:color w:val="000000" w:themeColor="text1"/>
          <w:kern w:val="0"/>
        </w:rPr>
        <w:t xml:space="preserve">low </w:t>
      </w:r>
      <w:r w:rsidR="00A25DE2" w:rsidRPr="002C09F5">
        <w:rPr>
          <w:rFonts w:hint="eastAsia"/>
          <w:b/>
          <w:bCs/>
          <w:color w:val="000000" w:themeColor="text1"/>
          <w:kern w:val="0"/>
        </w:rPr>
        <w:t>s</w:t>
      </w:r>
      <w:r w:rsidRPr="002C09F5">
        <w:rPr>
          <w:b/>
          <w:bCs/>
          <w:color w:val="000000" w:themeColor="text1"/>
          <w:kern w:val="0"/>
        </w:rPr>
        <w:t xml:space="preserve">ample </w:t>
      </w:r>
      <w:r w:rsidR="00A25DE2" w:rsidRPr="002C09F5">
        <w:rPr>
          <w:rFonts w:hint="eastAsia"/>
          <w:b/>
          <w:bCs/>
          <w:color w:val="000000" w:themeColor="text1"/>
          <w:kern w:val="0"/>
        </w:rPr>
        <w:t>c</w:t>
      </w:r>
      <w:r w:rsidRPr="002C09F5">
        <w:rPr>
          <w:b/>
          <w:bCs/>
          <w:color w:val="000000" w:themeColor="text1"/>
          <w:kern w:val="0"/>
        </w:rPr>
        <w:t xml:space="preserve">ollection </w:t>
      </w:r>
      <w:r w:rsidR="00A25DE2" w:rsidRPr="002C09F5">
        <w:rPr>
          <w:rFonts w:hint="eastAsia"/>
          <w:b/>
          <w:bCs/>
          <w:color w:val="000000" w:themeColor="text1"/>
          <w:kern w:val="0"/>
        </w:rPr>
        <w:t>m</w:t>
      </w:r>
      <w:r w:rsidRPr="002C09F5">
        <w:rPr>
          <w:b/>
          <w:bCs/>
          <w:color w:val="000000" w:themeColor="text1"/>
          <w:kern w:val="0"/>
        </w:rPr>
        <w:t>ethod:</w:t>
      </w:r>
    </w:p>
    <w:p w14:paraId="52F99CCA" w14:textId="5D582A81" w:rsidR="002C09F5" w:rsidRPr="002C09F5" w:rsidRDefault="002C09F5" w:rsidP="002C09F5">
      <w:pPr>
        <w:widowControl/>
        <w:numPr>
          <w:ilvl w:val="1"/>
          <w:numId w:val="8"/>
        </w:numPr>
        <w:spacing w:line="360" w:lineRule="auto"/>
        <w:ind w:left="442" w:hanging="442"/>
        <w:rPr>
          <w:bCs/>
          <w:color w:val="000000" w:themeColor="text1"/>
        </w:rPr>
      </w:pPr>
      <w:r w:rsidRPr="002C09F5">
        <w:rPr>
          <w:b/>
          <w:color w:val="000000" w:themeColor="text1"/>
        </w:rPr>
        <w:t xml:space="preserve">Mechanical </w:t>
      </w:r>
      <w:r w:rsidRPr="002C09F5">
        <w:rPr>
          <w:rFonts w:hint="eastAsia"/>
          <w:b/>
          <w:color w:val="000000" w:themeColor="text1"/>
        </w:rPr>
        <w:t>s</w:t>
      </w:r>
      <w:r w:rsidRPr="002C09F5">
        <w:rPr>
          <w:b/>
          <w:color w:val="000000" w:themeColor="text1"/>
        </w:rPr>
        <w:t>ampling</w:t>
      </w:r>
      <w:r w:rsidRPr="002C09F5">
        <w:rPr>
          <w:bCs/>
          <w:color w:val="000000" w:themeColor="text1"/>
        </w:rPr>
        <w:t>: This method utilizes a device known as a "lead fish," which is suspended from a sampling cableway and controlled from a platform to collect debris-flow samples. The lead fish is equipped with a sampling bucket that has a diameter of 19 cm and a</w:t>
      </w:r>
      <w:r w:rsidR="004230F1">
        <w:rPr>
          <w:rFonts w:hint="eastAsia"/>
          <w:bCs/>
          <w:color w:val="000000" w:themeColor="text1"/>
        </w:rPr>
        <w:t xml:space="preserve"> volume</w:t>
      </w:r>
      <w:r w:rsidRPr="002C09F5">
        <w:rPr>
          <w:bCs/>
          <w:color w:val="000000" w:themeColor="text1"/>
        </w:rPr>
        <w:t xml:space="preserve"> of 14 liters.</w:t>
      </w:r>
    </w:p>
    <w:p w14:paraId="3F653288" w14:textId="4C451F89" w:rsidR="002C09F5" w:rsidRPr="002C09F5" w:rsidRDefault="002C09F5" w:rsidP="002C09F5">
      <w:pPr>
        <w:widowControl/>
        <w:numPr>
          <w:ilvl w:val="1"/>
          <w:numId w:val="8"/>
        </w:numPr>
        <w:spacing w:line="360" w:lineRule="auto"/>
        <w:ind w:left="442" w:hanging="442"/>
        <w:rPr>
          <w:bCs/>
          <w:color w:val="000000" w:themeColor="text1"/>
        </w:rPr>
      </w:pPr>
      <w:r w:rsidRPr="002C09F5">
        <w:rPr>
          <w:b/>
          <w:color w:val="000000" w:themeColor="text1"/>
        </w:rPr>
        <w:t xml:space="preserve">Manual </w:t>
      </w:r>
      <w:r w:rsidRPr="002C09F5">
        <w:rPr>
          <w:rFonts w:hint="eastAsia"/>
          <w:b/>
          <w:color w:val="000000" w:themeColor="text1"/>
        </w:rPr>
        <w:t>s</w:t>
      </w:r>
      <w:r w:rsidRPr="002C09F5">
        <w:rPr>
          <w:b/>
          <w:color w:val="000000" w:themeColor="text1"/>
        </w:rPr>
        <w:t>ampling</w:t>
      </w:r>
      <w:r w:rsidRPr="002C09F5">
        <w:rPr>
          <w:bCs/>
          <w:color w:val="000000" w:themeColor="text1"/>
        </w:rPr>
        <w:t>: This approach involves the use of iron buckets, available in circular or square shapes, with capacities of 15.5 liters and 9 liters, respectively.</w:t>
      </w:r>
      <w:r w:rsidRPr="002C09F5">
        <w:rPr>
          <w:rFonts w:hint="eastAsia"/>
          <w:bCs/>
          <w:color w:val="000000" w:themeColor="text1"/>
        </w:rPr>
        <w:t xml:space="preserve"> </w:t>
      </w:r>
    </w:p>
    <w:p w14:paraId="00794DDD" w14:textId="45F0BBE6" w:rsidR="00375AB0" w:rsidRPr="002C09F5" w:rsidRDefault="00375AB0" w:rsidP="002C09F5">
      <w:pPr>
        <w:pStyle w:val="aa"/>
        <w:widowControl/>
        <w:numPr>
          <w:ilvl w:val="0"/>
          <w:numId w:val="2"/>
        </w:numPr>
        <w:spacing w:line="360" w:lineRule="auto"/>
        <w:ind w:firstLineChars="0"/>
        <w:rPr>
          <w:b/>
          <w:bCs/>
          <w:color w:val="000000" w:themeColor="text1"/>
          <w:kern w:val="0"/>
        </w:rPr>
      </w:pPr>
      <w:r w:rsidRPr="002C09F5">
        <w:rPr>
          <w:b/>
          <w:bCs/>
          <w:color w:val="000000" w:themeColor="text1"/>
          <w:kern w:val="0"/>
        </w:rPr>
        <w:t xml:space="preserve">Sediment </w:t>
      </w:r>
      <w:r w:rsidR="00AE4BE6" w:rsidRPr="002C09F5">
        <w:rPr>
          <w:rFonts w:hint="eastAsia"/>
          <w:b/>
          <w:bCs/>
          <w:color w:val="000000" w:themeColor="text1"/>
          <w:kern w:val="0"/>
        </w:rPr>
        <w:t>p</w:t>
      </w:r>
      <w:r w:rsidRPr="002C09F5">
        <w:rPr>
          <w:b/>
          <w:bCs/>
          <w:color w:val="000000" w:themeColor="text1"/>
          <w:kern w:val="0"/>
        </w:rPr>
        <w:t xml:space="preserve">article </w:t>
      </w:r>
      <w:r w:rsidR="00AE4BE6" w:rsidRPr="002C09F5">
        <w:rPr>
          <w:rFonts w:hint="eastAsia"/>
          <w:b/>
          <w:bCs/>
          <w:color w:val="000000" w:themeColor="text1"/>
          <w:kern w:val="0"/>
        </w:rPr>
        <w:t>a</w:t>
      </w:r>
      <w:r w:rsidRPr="002C09F5">
        <w:rPr>
          <w:b/>
          <w:bCs/>
          <w:color w:val="000000" w:themeColor="text1"/>
          <w:kern w:val="0"/>
        </w:rPr>
        <w:t xml:space="preserve">nalysis </w:t>
      </w:r>
      <w:r w:rsidR="00AE4BE6" w:rsidRPr="002C09F5">
        <w:rPr>
          <w:rFonts w:hint="eastAsia"/>
          <w:b/>
          <w:bCs/>
          <w:color w:val="000000" w:themeColor="text1"/>
          <w:kern w:val="0"/>
        </w:rPr>
        <w:t>m</w:t>
      </w:r>
      <w:r w:rsidRPr="002C09F5">
        <w:rPr>
          <w:b/>
          <w:bCs/>
          <w:color w:val="000000" w:themeColor="text1"/>
          <w:kern w:val="0"/>
        </w:rPr>
        <w:t>ethod:</w:t>
      </w:r>
    </w:p>
    <w:bookmarkEnd w:id="2"/>
    <w:p w14:paraId="7424AF8B" w14:textId="029DC820" w:rsidR="002C09F5" w:rsidRPr="002C09F5" w:rsidRDefault="002C09F5" w:rsidP="002C09F5">
      <w:pPr>
        <w:widowControl/>
        <w:numPr>
          <w:ilvl w:val="1"/>
          <w:numId w:val="8"/>
        </w:numPr>
        <w:spacing w:line="360" w:lineRule="auto"/>
        <w:ind w:left="442" w:hanging="442"/>
        <w:rPr>
          <w:bCs/>
          <w:color w:val="000000" w:themeColor="text1"/>
        </w:rPr>
      </w:pPr>
      <w:r w:rsidRPr="002C09F5">
        <w:rPr>
          <w:b/>
          <w:color w:val="000000" w:themeColor="text1"/>
        </w:rPr>
        <w:t xml:space="preserve">Particles </w:t>
      </w:r>
      <w:r w:rsidRPr="002C09F5">
        <w:rPr>
          <w:rFonts w:hint="eastAsia"/>
          <w:b/>
          <w:color w:val="000000" w:themeColor="text1"/>
        </w:rPr>
        <w:t>l</w:t>
      </w:r>
      <w:r w:rsidRPr="002C09F5">
        <w:rPr>
          <w:b/>
          <w:color w:val="000000" w:themeColor="text1"/>
        </w:rPr>
        <w:t xml:space="preserve">arger </w:t>
      </w:r>
      <w:r w:rsidRPr="002C09F5">
        <w:rPr>
          <w:rFonts w:hint="eastAsia"/>
          <w:b/>
          <w:color w:val="000000" w:themeColor="text1"/>
        </w:rPr>
        <w:t>t</w:t>
      </w:r>
      <w:r w:rsidRPr="002C09F5">
        <w:rPr>
          <w:b/>
          <w:color w:val="000000" w:themeColor="text1"/>
        </w:rPr>
        <w:t>han 0.25 mm</w:t>
      </w:r>
      <w:r w:rsidRPr="002C09F5">
        <w:rPr>
          <w:bCs/>
          <w:color w:val="000000" w:themeColor="text1"/>
        </w:rPr>
        <w:t>: The sieve analysis method is employed to analyze particle size distribution.</w:t>
      </w:r>
    </w:p>
    <w:p w14:paraId="465AE6EF" w14:textId="77777777" w:rsidR="002C09F5" w:rsidRPr="002C09F5" w:rsidRDefault="002C09F5" w:rsidP="002C09F5">
      <w:pPr>
        <w:widowControl/>
        <w:numPr>
          <w:ilvl w:val="1"/>
          <w:numId w:val="8"/>
        </w:numPr>
        <w:spacing w:line="360" w:lineRule="auto"/>
        <w:ind w:left="442" w:hanging="442"/>
        <w:rPr>
          <w:color w:val="1A2029"/>
          <w:sz w:val="23"/>
          <w:szCs w:val="23"/>
        </w:rPr>
      </w:pPr>
      <w:r w:rsidRPr="002C09F5">
        <w:rPr>
          <w:b/>
          <w:color w:val="000000" w:themeColor="text1"/>
        </w:rPr>
        <w:t xml:space="preserve">Particles </w:t>
      </w:r>
      <w:r w:rsidRPr="002C09F5">
        <w:rPr>
          <w:rFonts w:hint="eastAsia"/>
          <w:b/>
          <w:color w:val="000000" w:themeColor="text1"/>
        </w:rPr>
        <w:t>s</w:t>
      </w:r>
      <w:r w:rsidRPr="002C09F5">
        <w:rPr>
          <w:b/>
          <w:color w:val="000000" w:themeColor="text1"/>
        </w:rPr>
        <w:t xml:space="preserve">maller </w:t>
      </w:r>
      <w:r w:rsidRPr="002C09F5">
        <w:rPr>
          <w:rFonts w:hint="eastAsia"/>
          <w:b/>
          <w:color w:val="000000" w:themeColor="text1"/>
        </w:rPr>
        <w:t>t</w:t>
      </w:r>
      <w:r w:rsidRPr="002C09F5">
        <w:rPr>
          <w:b/>
          <w:color w:val="000000" w:themeColor="text1"/>
        </w:rPr>
        <w:t>han 0.25 mm</w:t>
      </w:r>
      <w:r w:rsidRPr="002C09F5">
        <w:rPr>
          <w:bCs/>
          <w:color w:val="000000" w:themeColor="text1"/>
        </w:rPr>
        <w:t>: Prior to 2004, the pycnometer method was utilized for particle size distribution analysis. Since 2004, the Marvin Laser Particle Size Analyzer (model MS2000) has been adopted for this purpose.</w:t>
      </w:r>
    </w:p>
    <w:p w14:paraId="5E1745B2" w14:textId="2DB9A77B" w:rsidR="002C09F5" w:rsidRPr="002C09F5" w:rsidRDefault="00771BD0" w:rsidP="0087458B">
      <w:pPr>
        <w:widowControl/>
        <w:spacing w:line="360" w:lineRule="auto"/>
        <w:ind w:left="442"/>
        <w:jc w:val="center"/>
        <w:rPr>
          <w:color w:val="1A2029"/>
          <w:sz w:val="23"/>
          <w:szCs w:val="23"/>
        </w:rPr>
      </w:pPr>
      <w:r>
        <w:rPr>
          <w:noProof/>
          <w:color w:val="1A2029"/>
          <w:sz w:val="23"/>
          <w:szCs w:val="23"/>
        </w:rPr>
        <w:drawing>
          <wp:inline distT="0" distB="0" distL="0" distR="0" wp14:anchorId="4A945B5A" wp14:editId="1059A8FD">
            <wp:extent cx="4219575" cy="3164936"/>
            <wp:effectExtent l="0" t="0" r="0" b="0"/>
            <wp:docPr id="8273148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590634" name="图片 118559063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3636" cy="3175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1C40F" w14:textId="10EB27AD" w:rsidR="002C09F5" w:rsidRPr="002C09F5" w:rsidRDefault="002C09F5" w:rsidP="002C09F5">
      <w:pPr>
        <w:widowControl/>
        <w:spacing w:line="360" w:lineRule="auto"/>
        <w:ind w:left="442"/>
        <w:jc w:val="center"/>
        <w:rPr>
          <w:color w:val="1A2029"/>
          <w:sz w:val="23"/>
          <w:szCs w:val="23"/>
        </w:rPr>
      </w:pPr>
      <w:r w:rsidRPr="002C09F5">
        <w:rPr>
          <w:color w:val="000000" w:themeColor="text1"/>
          <w:kern w:val="0"/>
        </w:rPr>
        <w:t>Mechanical sampling</w:t>
      </w:r>
    </w:p>
    <w:p w14:paraId="3B35DFAB" w14:textId="458BA0B9" w:rsidR="00E52AD8" w:rsidRPr="002C09F5" w:rsidRDefault="00E52AD8" w:rsidP="002C09F5">
      <w:pPr>
        <w:widowControl/>
        <w:spacing w:line="360" w:lineRule="auto"/>
        <w:jc w:val="center"/>
        <w:rPr>
          <w:color w:val="1A2029"/>
          <w:sz w:val="23"/>
          <w:szCs w:val="23"/>
        </w:rPr>
      </w:pPr>
      <w:r w:rsidRPr="00E52AD8">
        <w:rPr>
          <w:noProof/>
          <w:color w:val="1A2029"/>
          <w:sz w:val="23"/>
          <w:szCs w:val="23"/>
        </w:rPr>
        <w:lastRenderedPageBreak/>
        <w:drawing>
          <wp:inline distT="0" distB="0" distL="0" distR="0" wp14:anchorId="668182DF" wp14:editId="18CCBD3F">
            <wp:extent cx="4387174" cy="2467719"/>
            <wp:effectExtent l="0" t="0" r="0" b="8890"/>
            <wp:docPr id="11274051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548949" name="图片 66754894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257" cy="2475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D286C7" w14:textId="6E0B914A" w:rsidR="00E52AD8" w:rsidRPr="00E52AD8" w:rsidRDefault="00E52AD8" w:rsidP="002C09F5">
      <w:pPr>
        <w:pStyle w:val="a4"/>
        <w:shd w:val="clear" w:color="auto" w:fill="FFFFFF"/>
        <w:spacing w:before="0" w:beforeAutospacing="0" w:after="0" w:afterAutospacing="0"/>
        <w:jc w:val="center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  <w:r w:rsidRPr="00E52AD8">
        <w:rPr>
          <w:rFonts w:ascii="Times New Roman" w:eastAsia="等线" w:hAnsi="Times New Roman" w:cs="Times New Roman"/>
          <w:color w:val="000000"/>
          <w:sz w:val="22"/>
          <w:szCs w:val="22"/>
        </w:rPr>
        <w:t>Manual sampling</w:t>
      </w:r>
    </w:p>
    <w:p w14:paraId="54EC77B3" w14:textId="77777777" w:rsidR="00E52AD8" w:rsidRDefault="00E52AD8" w:rsidP="002C09F5">
      <w:pPr>
        <w:spacing w:line="360" w:lineRule="auto"/>
        <w:jc w:val="center"/>
        <w:rPr>
          <w:bCs/>
          <w:sz w:val="21"/>
        </w:rPr>
      </w:pPr>
      <w:r>
        <w:rPr>
          <w:bCs/>
          <w:noProof/>
          <w:sz w:val="21"/>
        </w:rPr>
        <w:drawing>
          <wp:inline distT="0" distB="0" distL="0" distR="0" wp14:anchorId="71557080" wp14:editId="75C9D482">
            <wp:extent cx="4340720" cy="2821022"/>
            <wp:effectExtent l="0" t="0" r="3175" b="0"/>
            <wp:docPr id="5279936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731501" name="图片 1679731501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11" r="12893" b="6314"/>
                    <a:stretch/>
                  </pic:blipFill>
                  <pic:spPr bwMode="auto">
                    <a:xfrm>
                      <a:off x="0" y="0"/>
                      <a:ext cx="4361638" cy="2834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88BAB1" w14:textId="77777777" w:rsidR="00E52AD8" w:rsidRDefault="00E52AD8" w:rsidP="002C09F5">
      <w:pPr>
        <w:pStyle w:val="a4"/>
        <w:shd w:val="clear" w:color="auto" w:fill="FFFFFF"/>
        <w:spacing w:before="0" w:beforeAutospacing="0" w:after="240" w:afterAutospacing="0" w:line="405" w:lineRule="atLeast"/>
        <w:jc w:val="center"/>
        <w:textAlignment w:val="baseline"/>
        <w:rPr>
          <w:rFonts w:ascii="Times New Roman" w:hAnsi="Times New Roman" w:cs="Times New Roman"/>
          <w:bCs/>
          <w:kern w:val="2"/>
          <w:sz w:val="21"/>
        </w:rPr>
      </w:pPr>
      <w:r w:rsidRPr="00E52AD8">
        <w:rPr>
          <w:rFonts w:ascii="Times New Roman" w:hAnsi="Times New Roman" w:cs="Times New Roman"/>
          <w:bCs/>
          <w:kern w:val="2"/>
          <w:sz w:val="21"/>
        </w:rPr>
        <w:t>Marvin Laser Particle Size Analyzer (PSA)</w:t>
      </w:r>
    </w:p>
    <w:p w14:paraId="13B92CD0" w14:textId="77777777" w:rsidR="008043BE" w:rsidRPr="00824EE3" w:rsidRDefault="008043BE" w:rsidP="008043BE">
      <w:pPr>
        <w:widowControl/>
        <w:shd w:val="clear" w:color="auto" w:fill="FFFFFF"/>
        <w:spacing w:line="360" w:lineRule="auto"/>
        <w:textAlignment w:val="baseline"/>
        <w:rPr>
          <w:b/>
          <w:bCs/>
          <w:color w:val="000000" w:themeColor="text1"/>
          <w:kern w:val="0"/>
        </w:rPr>
      </w:pPr>
      <w:bookmarkStart w:id="3" w:name="_Hlk179384322"/>
      <w:r w:rsidRPr="00824EE3">
        <w:rPr>
          <w:b/>
          <w:bCs/>
          <w:color w:val="000000" w:themeColor="text1"/>
          <w:kern w:val="0"/>
        </w:rPr>
        <w:t>Note:</w:t>
      </w:r>
    </w:p>
    <w:p w14:paraId="41F8D0C6" w14:textId="77777777" w:rsidR="008043BE" w:rsidRPr="00143BF3" w:rsidRDefault="008043BE" w:rsidP="008043BE">
      <w:pPr>
        <w:widowControl/>
        <w:shd w:val="clear" w:color="auto" w:fill="FFFFFF"/>
        <w:spacing w:line="360" w:lineRule="auto"/>
        <w:textAlignment w:val="baseline"/>
        <w:rPr>
          <w:color w:val="000000" w:themeColor="text1"/>
          <w:kern w:val="0"/>
        </w:rPr>
      </w:pPr>
      <w:r w:rsidRPr="00143BF3">
        <w:rPr>
          <w:color w:val="000000" w:themeColor="text1"/>
          <w:kern w:val="0"/>
        </w:rPr>
        <w:t>(1) In works such as paper, patent, and monograph, please indicate the data source. In the acknowledgments section of Chinese publications, include the statement “</w:t>
      </w:r>
      <w:r w:rsidRPr="00143BF3">
        <w:rPr>
          <w:color w:val="000000" w:themeColor="text1"/>
          <w:kern w:val="0"/>
        </w:rPr>
        <w:t>感谢中国科学院东川泥石流观测研究站为本研究提供了相关数据</w:t>
      </w:r>
      <w:r w:rsidRPr="00143BF3">
        <w:rPr>
          <w:color w:val="000000" w:themeColor="text1"/>
          <w:kern w:val="0"/>
        </w:rPr>
        <w:t xml:space="preserve">” . In the acknowledgments section of English publications, please state, “We would like to thank the </w:t>
      </w:r>
      <w:proofErr w:type="spellStart"/>
      <w:r w:rsidRPr="00143BF3">
        <w:rPr>
          <w:color w:val="000000" w:themeColor="text1"/>
          <w:kern w:val="0"/>
        </w:rPr>
        <w:t>Dongchuan</w:t>
      </w:r>
      <w:proofErr w:type="spellEnd"/>
      <w:r w:rsidRPr="00143BF3">
        <w:rPr>
          <w:color w:val="000000" w:themeColor="text1"/>
          <w:kern w:val="0"/>
        </w:rPr>
        <w:t xml:space="preserve"> Debris Flow Observation and Research Station (DDFORS), Chinese Academy of Sciences, for providing the field observation data for this study.”</w:t>
      </w:r>
    </w:p>
    <w:p w14:paraId="016E1207" w14:textId="77777777" w:rsidR="008043BE" w:rsidRPr="00143BF3" w:rsidRDefault="008043BE" w:rsidP="008043BE">
      <w:pPr>
        <w:widowControl/>
        <w:shd w:val="clear" w:color="auto" w:fill="FFFFFF"/>
        <w:spacing w:line="360" w:lineRule="auto"/>
        <w:textAlignment w:val="baseline"/>
        <w:rPr>
          <w:color w:val="000000" w:themeColor="text1"/>
          <w:kern w:val="0"/>
        </w:rPr>
      </w:pPr>
      <w:r w:rsidRPr="00143BF3">
        <w:rPr>
          <w:color w:val="000000" w:themeColor="text1"/>
          <w:kern w:val="0"/>
        </w:rPr>
        <w:lastRenderedPageBreak/>
        <w:t xml:space="preserve">(2) For more detailed information, please visit the website of </w:t>
      </w:r>
      <w:proofErr w:type="spellStart"/>
      <w:r w:rsidRPr="00AE6CCB">
        <w:rPr>
          <w:color w:val="000000" w:themeColor="text1"/>
          <w:kern w:val="0"/>
        </w:rPr>
        <w:t>Dongchuan</w:t>
      </w:r>
      <w:proofErr w:type="spellEnd"/>
      <w:r w:rsidRPr="00AE6CCB">
        <w:rPr>
          <w:color w:val="000000" w:themeColor="text1"/>
          <w:kern w:val="0"/>
        </w:rPr>
        <w:t xml:space="preserve"> Debris Flow Observation and Research Station (DDFORS)</w:t>
      </w:r>
      <w:r w:rsidRPr="00143BF3">
        <w:rPr>
          <w:color w:val="000000" w:themeColor="text1"/>
          <w:kern w:val="0"/>
        </w:rPr>
        <w:t xml:space="preserve"> (Chinese website: http://nsl.imde.ac.cn/; English website: http://nsl.imde.ac.cn/en/).</w:t>
      </w:r>
    </w:p>
    <w:p w14:paraId="76B63EB4" w14:textId="77777777" w:rsidR="008043BE" w:rsidRPr="00143BF3" w:rsidRDefault="008043BE" w:rsidP="008043BE">
      <w:pPr>
        <w:widowControl/>
        <w:shd w:val="clear" w:color="auto" w:fill="FFFFFF"/>
        <w:spacing w:line="360" w:lineRule="auto"/>
        <w:textAlignment w:val="baseline"/>
        <w:rPr>
          <w:color w:val="000000" w:themeColor="text1"/>
          <w:kern w:val="0"/>
        </w:rPr>
      </w:pPr>
      <w:r w:rsidRPr="00143BF3">
        <w:rPr>
          <w:color w:val="000000" w:themeColor="text1"/>
          <w:kern w:val="0"/>
        </w:rPr>
        <w:t xml:space="preserve">(3) For any data-related issues, please contact Li </w:t>
      </w:r>
      <w:r w:rsidRPr="00143BF3">
        <w:rPr>
          <w:rFonts w:hint="eastAsia"/>
          <w:color w:val="000000" w:themeColor="text1"/>
          <w:kern w:val="0"/>
        </w:rPr>
        <w:t xml:space="preserve">Wei </w:t>
      </w:r>
      <w:r w:rsidRPr="00143BF3">
        <w:rPr>
          <w:color w:val="000000" w:themeColor="text1"/>
          <w:kern w:val="0"/>
        </w:rPr>
        <w:t>(</w:t>
      </w:r>
      <w:r w:rsidRPr="00305C21">
        <w:rPr>
          <w:color w:val="000000" w:themeColor="text1"/>
          <w:kern w:val="0"/>
        </w:rPr>
        <w:t>weili@imde.ac.cn</w:t>
      </w:r>
      <w:r w:rsidRPr="00143BF3">
        <w:rPr>
          <w:color w:val="000000" w:themeColor="text1"/>
          <w:kern w:val="0"/>
        </w:rPr>
        <w:t>)</w:t>
      </w:r>
      <w:r>
        <w:rPr>
          <w:color w:val="000000" w:themeColor="text1"/>
          <w:kern w:val="0"/>
        </w:rPr>
        <w:t xml:space="preserve"> </w:t>
      </w:r>
      <w:r w:rsidRPr="00AE6CCB">
        <w:rPr>
          <w:color w:val="000000" w:themeColor="text1"/>
          <w:kern w:val="0"/>
        </w:rPr>
        <w:t xml:space="preserve">and </w:t>
      </w:r>
      <w:proofErr w:type="spellStart"/>
      <w:r w:rsidRPr="00AE6CCB">
        <w:rPr>
          <w:color w:val="000000" w:themeColor="text1"/>
          <w:kern w:val="0"/>
        </w:rPr>
        <w:t>Dongri</w:t>
      </w:r>
      <w:proofErr w:type="spellEnd"/>
      <w:r w:rsidRPr="00AE6CCB">
        <w:rPr>
          <w:color w:val="000000" w:themeColor="text1"/>
          <w:kern w:val="0"/>
        </w:rPr>
        <w:t xml:space="preserve"> Song (drsong@imde.ac.cn)</w:t>
      </w:r>
      <w:r w:rsidRPr="00143BF3">
        <w:rPr>
          <w:color w:val="000000" w:themeColor="text1"/>
          <w:kern w:val="0"/>
        </w:rPr>
        <w:t>.</w:t>
      </w:r>
    </w:p>
    <w:bookmarkEnd w:id="3"/>
    <w:p w14:paraId="48906704" w14:textId="77777777" w:rsidR="008043BE" w:rsidRPr="00305C21" w:rsidRDefault="008043BE" w:rsidP="008043BE">
      <w:pPr>
        <w:widowControl/>
        <w:shd w:val="clear" w:color="auto" w:fill="FFFFFF"/>
        <w:spacing w:line="360" w:lineRule="auto"/>
        <w:textAlignment w:val="baseline"/>
        <w:rPr>
          <w:color w:val="000000" w:themeColor="text1"/>
          <w:kern w:val="0"/>
        </w:rPr>
      </w:pPr>
    </w:p>
    <w:p w14:paraId="6D3056C6" w14:textId="77777777" w:rsidR="00747F5D" w:rsidRPr="008043BE" w:rsidRDefault="00747F5D" w:rsidP="00747F5D">
      <w:pPr>
        <w:spacing w:line="360" w:lineRule="auto"/>
        <w:rPr>
          <w:bCs/>
        </w:rPr>
      </w:pPr>
    </w:p>
    <w:p w14:paraId="4CF0C837" w14:textId="727DD380" w:rsidR="00747F5D" w:rsidRPr="00747F5D" w:rsidRDefault="00747F5D" w:rsidP="00747F5D">
      <w:pPr>
        <w:pStyle w:val="a4"/>
        <w:shd w:val="clear" w:color="auto" w:fill="FFFFFF"/>
        <w:spacing w:before="0" w:beforeAutospacing="0" w:after="240" w:afterAutospacing="0" w:line="405" w:lineRule="atLeast"/>
        <w:jc w:val="both"/>
        <w:textAlignment w:val="baseline"/>
        <w:rPr>
          <w:rFonts w:ascii="Times New Roman" w:hAnsi="Times New Roman" w:cs="Times New Roman"/>
          <w:color w:val="1A2029"/>
          <w:sz w:val="23"/>
          <w:szCs w:val="23"/>
        </w:rPr>
      </w:pPr>
    </w:p>
    <w:p w14:paraId="3EE482CA" w14:textId="7F5DDBB5" w:rsidR="00AC7F0D" w:rsidRPr="00747F5D" w:rsidRDefault="00AC7F0D"/>
    <w:sectPr w:rsidR="00AC7F0D" w:rsidRPr="00747F5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41CEC51" w14:textId="77777777" w:rsidR="00FF0959" w:rsidRDefault="00FF0959" w:rsidP="00F10308">
      <w:r>
        <w:separator/>
      </w:r>
    </w:p>
  </w:endnote>
  <w:endnote w:type="continuationSeparator" w:id="0">
    <w:p w14:paraId="32E94905" w14:textId="77777777" w:rsidR="00FF0959" w:rsidRDefault="00FF0959" w:rsidP="00F103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B5142E" w14:textId="77777777" w:rsidR="00FF0959" w:rsidRDefault="00FF0959" w:rsidP="00F10308">
      <w:r>
        <w:separator/>
      </w:r>
    </w:p>
  </w:footnote>
  <w:footnote w:type="continuationSeparator" w:id="0">
    <w:p w14:paraId="581C4543" w14:textId="77777777" w:rsidR="00FF0959" w:rsidRDefault="00FF0959" w:rsidP="00F103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F5E42"/>
    <w:multiLevelType w:val="hybridMultilevel"/>
    <w:tmpl w:val="E4C62B0C"/>
    <w:lvl w:ilvl="0" w:tplc="908EFD1C">
      <w:start w:val="1"/>
      <w:numFmt w:val="bullet"/>
      <w:lvlText w:val="∙"/>
      <w:lvlJc w:val="center"/>
      <w:pPr>
        <w:ind w:left="440" w:hanging="440"/>
      </w:pPr>
      <w:rPr>
        <w:rFonts w:ascii="Cambria Math" w:hAnsi="Cambria Math" w:hint="default"/>
      </w:rPr>
    </w:lvl>
    <w:lvl w:ilvl="1" w:tplc="FFFFFFFF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355F35F3"/>
    <w:multiLevelType w:val="hybridMultilevel"/>
    <w:tmpl w:val="F8A0A9BE"/>
    <w:lvl w:ilvl="0" w:tplc="C4101960">
      <w:start w:val="1"/>
      <w:numFmt w:val="bullet"/>
      <w:lvlText w:val="∙"/>
      <w:lvlJc w:val="left"/>
      <w:pPr>
        <w:ind w:left="440" w:hanging="440"/>
      </w:pPr>
      <w:rPr>
        <w:rFonts w:ascii="Cambria Math" w:hAnsi="Cambria Math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38096B5A"/>
    <w:multiLevelType w:val="hybridMultilevel"/>
    <w:tmpl w:val="4276F44E"/>
    <w:lvl w:ilvl="0" w:tplc="F7143C14">
      <w:start w:val="1"/>
      <w:numFmt w:val="decimal"/>
      <w:lvlText w:val="（%1）"/>
      <w:lvlJc w:val="left"/>
      <w:pPr>
        <w:ind w:left="720" w:hanging="72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3CFA77D6"/>
    <w:multiLevelType w:val="hybridMultilevel"/>
    <w:tmpl w:val="346EDE7E"/>
    <w:lvl w:ilvl="0" w:tplc="FFFFFFFF">
      <w:start w:val="1"/>
      <w:numFmt w:val="decimal"/>
      <w:lvlText w:val="(%1)"/>
      <w:lvlJc w:val="left"/>
      <w:pPr>
        <w:ind w:left="530" w:hanging="360"/>
      </w:pPr>
      <w:rPr>
        <w:rFonts w:hint="default"/>
        <w:b/>
      </w:rPr>
    </w:lvl>
    <w:lvl w:ilvl="1" w:tplc="FFFFFFFF" w:tentative="1">
      <w:start w:val="1"/>
      <w:numFmt w:val="lowerLetter"/>
      <w:lvlText w:val="%2)"/>
      <w:lvlJc w:val="left"/>
      <w:pPr>
        <w:ind w:left="1050" w:hanging="440"/>
      </w:pPr>
    </w:lvl>
    <w:lvl w:ilvl="2" w:tplc="FFFFFFFF" w:tentative="1">
      <w:start w:val="1"/>
      <w:numFmt w:val="lowerRoman"/>
      <w:lvlText w:val="%3."/>
      <w:lvlJc w:val="right"/>
      <w:pPr>
        <w:ind w:left="1490" w:hanging="440"/>
      </w:pPr>
    </w:lvl>
    <w:lvl w:ilvl="3" w:tplc="FFFFFFFF" w:tentative="1">
      <w:start w:val="1"/>
      <w:numFmt w:val="decimal"/>
      <w:lvlText w:val="%4."/>
      <w:lvlJc w:val="left"/>
      <w:pPr>
        <w:ind w:left="1930" w:hanging="440"/>
      </w:pPr>
    </w:lvl>
    <w:lvl w:ilvl="4" w:tplc="FFFFFFFF" w:tentative="1">
      <w:start w:val="1"/>
      <w:numFmt w:val="lowerLetter"/>
      <w:lvlText w:val="%5)"/>
      <w:lvlJc w:val="left"/>
      <w:pPr>
        <w:ind w:left="2370" w:hanging="440"/>
      </w:pPr>
    </w:lvl>
    <w:lvl w:ilvl="5" w:tplc="FFFFFFFF" w:tentative="1">
      <w:start w:val="1"/>
      <w:numFmt w:val="lowerRoman"/>
      <w:lvlText w:val="%6."/>
      <w:lvlJc w:val="right"/>
      <w:pPr>
        <w:ind w:left="2810" w:hanging="440"/>
      </w:pPr>
    </w:lvl>
    <w:lvl w:ilvl="6" w:tplc="FFFFFFFF" w:tentative="1">
      <w:start w:val="1"/>
      <w:numFmt w:val="decimal"/>
      <w:lvlText w:val="%7."/>
      <w:lvlJc w:val="left"/>
      <w:pPr>
        <w:ind w:left="3250" w:hanging="440"/>
      </w:pPr>
    </w:lvl>
    <w:lvl w:ilvl="7" w:tplc="FFFFFFFF" w:tentative="1">
      <w:start w:val="1"/>
      <w:numFmt w:val="lowerLetter"/>
      <w:lvlText w:val="%8)"/>
      <w:lvlJc w:val="left"/>
      <w:pPr>
        <w:ind w:left="3690" w:hanging="440"/>
      </w:pPr>
    </w:lvl>
    <w:lvl w:ilvl="8" w:tplc="FFFFFFFF" w:tentative="1">
      <w:start w:val="1"/>
      <w:numFmt w:val="lowerRoman"/>
      <w:lvlText w:val="%9."/>
      <w:lvlJc w:val="right"/>
      <w:pPr>
        <w:ind w:left="4130" w:hanging="440"/>
      </w:pPr>
    </w:lvl>
  </w:abstractNum>
  <w:abstractNum w:abstractNumId="4" w15:restartNumberingAfterBreak="0">
    <w:nsid w:val="4B861ABD"/>
    <w:multiLevelType w:val="multilevel"/>
    <w:tmpl w:val="0A4A3A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22D47EB"/>
    <w:multiLevelType w:val="multilevel"/>
    <w:tmpl w:val="2CFE62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·"/>
      <w:lvlJc w:val="center"/>
      <w:pPr>
        <w:ind w:left="1520" w:hanging="440"/>
      </w:pPr>
      <w:rPr>
        <w:rFonts w:ascii="Cambria Math" w:hAnsi="Cambria Math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66354FE"/>
    <w:multiLevelType w:val="hybridMultilevel"/>
    <w:tmpl w:val="98F0D29C"/>
    <w:lvl w:ilvl="0" w:tplc="C4101960">
      <w:start w:val="1"/>
      <w:numFmt w:val="bullet"/>
      <w:lvlText w:val="∙"/>
      <w:lvlJc w:val="left"/>
      <w:pPr>
        <w:ind w:left="440" w:hanging="440"/>
      </w:pPr>
      <w:rPr>
        <w:rFonts w:ascii="Cambria Math" w:hAnsi="Cambria Math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71EE775E"/>
    <w:multiLevelType w:val="hybridMultilevel"/>
    <w:tmpl w:val="346EDE7E"/>
    <w:lvl w:ilvl="0" w:tplc="3C9808C2">
      <w:start w:val="1"/>
      <w:numFmt w:val="decimal"/>
      <w:lvlText w:val="(%1)"/>
      <w:lvlJc w:val="left"/>
      <w:pPr>
        <w:ind w:left="53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1050" w:hanging="440"/>
      </w:pPr>
    </w:lvl>
    <w:lvl w:ilvl="2" w:tplc="0409001B" w:tentative="1">
      <w:start w:val="1"/>
      <w:numFmt w:val="lowerRoman"/>
      <w:lvlText w:val="%3."/>
      <w:lvlJc w:val="right"/>
      <w:pPr>
        <w:ind w:left="1490" w:hanging="440"/>
      </w:pPr>
    </w:lvl>
    <w:lvl w:ilvl="3" w:tplc="0409000F" w:tentative="1">
      <w:start w:val="1"/>
      <w:numFmt w:val="decimal"/>
      <w:lvlText w:val="%4."/>
      <w:lvlJc w:val="left"/>
      <w:pPr>
        <w:ind w:left="1930" w:hanging="440"/>
      </w:pPr>
    </w:lvl>
    <w:lvl w:ilvl="4" w:tplc="04090019" w:tentative="1">
      <w:start w:val="1"/>
      <w:numFmt w:val="lowerLetter"/>
      <w:lvlText w:val="%5)"/>
      <w:lvlJc w:val="left"/>
      <w:pPr>
        <w:ind w:left="2370" w:hanging="440"/>
      </w:pPr>
    </w:lvl>
    <w:lvl w:ilvl="5" w:tplc="0409001B" w:tentative="1">
      <w:start w:val="1"/>
      <w:numFmt w:val="lowerRoman"/>
      <w:lvlText w:val="%6."/>
      <w:lvlJc w:val="right"/>
      <w:pPr>
        <w:ind w:left="2810" w:hanging="440"/>
      </w:pPr>
    </w:lvl>
    <w:lvl w:ilvl="6" w:tplc="0409000F" w:tentative="1">
      <w:start w:val="1"/>
      <w:numFmt w:val="decimal"/>
      <w:lvlText w:val="%7."/>
      <w:lvlJc w:val="left"/>
      <w:pPr>
        <w:ind w:left="3250" w:hanging="440"/>
      </w:pPr>
    </w:lvl>
    <w:lvl w:ilvl="7" w:tplc="04090019" w:tentative="1">
      <w:start w:val="1"/>
      <w:numFmt w:val="lowerLetter"/>
      <w:lvlText w:val="%8)"/>
      <w:lvlJc w:val="left"/>
      <w:pPr>
        <w:ind w:left="3690" w:hanging="440"/>
      </w:pPr>
    </w:lvl>
    <w:lvl w:ilvl="8" w:tplc="0409001B" w:tentative="1">
      <w:start w:val="1"/>
      <w:numFmt w:val="lowerRoman"/>
      <w:lvlText w:val="%9."/>
      <w:lvlJc w:val="right"/>
      <w:pPr>
        <w:ind w:left="4130" w:hanging="440"/>
      </w:pPr>
    </w:lvl>
  </w:abstractNum>
  <w:abstractNum w:abstractNumId="8" w15:restartNumberingAfterBreak="0">
    <w:nsid w:val="78383CAF"/>
    <w:multiLevelType w:val="hybridMultilevel"/>
    <w:tmpl w:val="AC94473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709768867">
    <w:abstractNumId w:val="4"/>
  </w:num>
  <w:num w:numId="2" w16cid:durableId="364911390">
    <w:abstractNumId w:val="7"/>
  </w:num>
  <w:num w:numId="3" w16cid:durableId="1262565611">
    <w:abstractNumId w:val="2"/>
  </w:num>
  <w:num w:numId="4" w16cid:durableId="535852562">
    <w:abstractNumId w:val="6"/>
  </w:num>
  <w:num w:numId="5" w16cid:durableId="511264745">
    <w:abstractNumId w:val="1"/>
  </w:num>
  <w:num w:numId="6" w16cid:durableId="1381127624">
    <w:abstractNumId w:val="8"/>
  </w:num>
  <w:num w:numId="7" w16cid:durableId="1813790517">
    <w:abstractNumId w:val="0"/>
  </w:num>
  <w:num w:numId="8" w16cid:durableId="2063477359">
    <w:abstractNumId w:val="5"/>
  </w:num>
  <w:num w:numId="9" w16cid:durableId="83565545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7I0NrMwMTQ0NjIyNTJS0lEKTi0uzszPAykwqQUAK5YWKCwAAAA="/>
  </w:docVars>
  <w:rsids>
    <w:rsidRoot w:val="00747F5D"/>
    <w:rsid w:val="00010F02"/>
    <w:rsid w:val="000155F3"/>
    <w:rsid w:val="0002547B"/>
    <w:rsid w:val="00034883"/>
    <w:rsid w:val="00095B0B"/>
    <w:rsid w:val="00126F9F"/>
    <w:rsid w:val="0016334A"/>
    <w:rsid w:val="001D6D96"/>
    <w:rsid w:val="001F2D9B"/>
    <w:rsid w:val="00244677"/>
    <w:rsid w:val="00290815"/>
    <w:rsid w:val="002A23BA"/>
    <w:rsid w:val="002C09F5"/>
    <w:rsid w:val="0033236D"/>
    <w:rsid w:val="0036668E"/>
    <w:rsid w:val="003673B5"/>
    <w:rsid w:val="00375AB0"/>
    <w:rsid w:val="003B3390"/>
    <w:rsid w:val="003C7EE8"/>
    <w:rsid w:val="0040429B"/>
    <w:rsid w:val="004230F1"/>
    <w:rsid w:val="00425AB9"/>
    <w:rsid w:val="00441785"/>
    <w:rsid w:val="004C38CB"/>
    <w:rsid w:val="0050376C"/>
    <w:rsid w:val="00542929"/>
    <w:rsid w:val="00551EEA"/>
    <w:rsid w:val="005A2D6D"/>
    <w:rsid w:val="005A6EF2"/>
    <w:rsid w:val="00672E86"/>
    <w:rsid w:val="006812E8"/>
    <w:rsid w:val="006C6F52"/>
    <w:rsid w:val="0072162B"/>
    <w:rsid w:val="0074571E"/>
    <w:rsid w:val="00747F5D"/>
    <w:rsid w:val="00771BD0"/>
    <w:rsid w:val="00772954"/>
    <w:rsid w:val="007807AB"/>
    <w:rsid w:val="00797A2D"/>
    <w:rsid w:val="007B1869"/>
    <w:rsid w:val="008043BE"/>
    <w:rsid w:val="0080511E"/>
    <w:rsid w:val="0081157C"/>
    <w:rsid w:val="008156D1"/>
    <w:rsid w:val="0087458B"/>
    <w:rsid w:val="00882D15"/>
    <w:rsid w:val="008C0687"/>
    <w:rsid w:val="008D49AA"/>
    <w:rsid w:val="00981B2B"/>
    <w:rsid w:val="00982CE2"/>
    <w:rsid w:val="00A25DE2"/>
    <w:rsid w:val="00AA5376"/>
    <w:rsid w:val="00AC3227"/>
    <w:rsid w:val="00AC7F0D"/>
    <w:rsid w:val="00AE4BE6"/>
    <w:rsid w:val="00B168F8"/>
    <w:rsid w:val="00B77E34"/>
    <w:rsid w:val="00BA281D"/>
    <w:rsid w:val="00C7605C"/>
    <w:rsid w:val="00CA6180"/>
    <w:rsid w:val="00D36F56"/>
    <w:rsid w:val="00DA1CFE"/>
    <w:rsid w:val="00DB60C2"/>
    <w:rsid w:val="00E040A3"/>
    <w:rsid w:val="00E209E9"/>
    <w:rsid w:val="00E52AD8"/>
    <w:rsid w:val="00E91EEA"/>
    <w:rsid w:val="00F10308"/>
    <w:rsid w:val="00FA1CE5"/>
    <w:rsid w:val="00FA71C8"/>
    <w:rsid w:val="00FE3851"/>
    <w:rsid w:val="00FF0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1127696"/>
  <w15:chartTrackingRefBased/>
  <w15:docId w15:val="{D474A92F-EDB6-4C1D-97E3-5F66BDD8AC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47F5D"/>
    <w:pPr>
      <w:widowControl w:val="0"/>
      <w:jc w:val="both"/>
    </w:pPr>
    <w:rPr>
      <w:rFonts w:ascii="Times New Roman" w:eastAsia="宋体" w:hAnsi="Times New Roman" w:cs="Times New Roman"/>
      <w:sz w:val="24"/>
      <w:szCs w:val="24"/>
    </w:rPr>
  </w:style>
  <w:style w:type="paragraph" w:styleId="3">
    <w:name w:val="heading 3"/>
    <w:basedOn w:val="a"/>
    <w:link w:val="30"/>
    <w:uiPriority w:val="9"/>
    <w:qFormat/>
    <w:rsid w:val="00375AB0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47F5D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747F5D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</w:rPr>
  </w:style>
  <w:style w:type="paragraph" w:styleId="a5">
    <w:name w:val="header"/>
    <w:basedOn w:val="a"/>
    <w:link w:val="a6"/>
    <w:uiPriority w:val="99"/>
    <w:unhideWhenUsed/>
    <w:rsid w:val="00F1030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F10308"/>
    <w:rPr>
      <w:rFonts w:ascii="Times New Roman" w:eastAsia="宋体" w:hAnsi="Times New Roman" w:cs="Times New Roman"/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F1030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F10308"/>
    <w:rPr>
      <w:rFonts w:ascii="Times New Roman" w:eastAsia="宋体" w:hAnsi="Times New Roman" w:cs="Times New Roman"/>
      <w:sz w:val="18"/>
      <w:szCs w:val="18"/>
    </w:rPr>
  </w:style>
  <w:style w:type="character" w:customStyle="1" w:styleId="30">
    <w:name w:val="标题 3 字符"/>
    <w:basedOn w:val="a0"/>
    <w:link w:val="3"/>
    <w:uiPriority w:val="9"/>
    <w:rsid w:val="00375AB0"/>
    <w:rPr>
      <w:rFonts w:ascii="宋体" w:eastAsia="宋体" w:hAnsi="宋体" w:cs="宋体"/>
      <w:b/>
      <w:bCs/>
      <w:kern w:val="0"/>
      <w:sz w:val="27"/>
      <w:szCs w:val="27"/>
    </w:rPr>
  </w:style>
  <w:style w:type="character" w:styleId="a9">
    <w:name w:val="Strong"/>
    <w:basedOn w:val="a0"/>
    <w:uiPriority w:val="22"/>
    <w:qFormat/>
    <w:rsid w:val="00375AB0"/>
    <w:rPr>
      <w:b/>
      <w:bCs/>
    </w:rPr>
  </w:style>
  <w:style w:type="paragraph" w:styleId="aa">
    <w:name w:val="List Paragraph"/>
    <w:basedOn w:val="a"/>
    <w:uiPriority w:val="34"/>
    <w:qFormat/>
    <w:rsid w:val="00375AB0"/>
    <w:pPr>
      <w:ind w:firstLineChars="200" w:firstLine="420"/>
    </w:pPr>
  </w:style>
  <w:style w:type="character" w:styleId="ab">
    <w:name w:val="annotation reference"/>
    <w:basedOn w:val="a0"/>
    <w:uiPriority w:val="99"/>
    <w:semiHidden/>
    <w:unhideWhenUsed/>
    <w:rsid w:val="00E040A3"/>
    <w:rPr>
      <w:sz w:val="21"/>
      <w:szCs w:val="21"/>
    </w:rPr>
  </w:style>
  <w:style w:type="paragraph" w:styleId="ac">
    <w:name w:val="annotation text"/>
    <w:basedOn w:val="a"/>
    <w:link w:val="ad"/>
    <w:uiPriority w:val="99"/>
    <w:semiHidden/>
    <w:unhideWhenUsed/>
    <w:rsid w:val="00E040A3"/>
    <w:pPr>
      <w:jc w:val="left"/>
    </w:pPr>
  </w:style>
  <w:style w:type="character" w:customStyle="1" w:styleId="ad">
    <w:name w:val="批注文字 字符"/>
    <w:basedOn w:val="a0"/>
    <w:link w:val="ac"/>
    <w:uiPriority w:val="99"/>
    <w:semiHidden/>
    <w:rsid w:val="00E040A3"/>
    <w:rPr>
      <w:rFonts w:ascii="Times New Roman" w:eastAsia="宋体" w:hAnsi="Times New Roman" w:cs="Times New Roman"/>
      <w:sz w:val="24"/>
      <w:szCs w:val="24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E040A3"/>
    <w:rPr>
      <w:b/>
      <w:bCs/>
    </w:rPr>
  </w:style>
  <w:style w:type="character" w:customStyle="1" w:styleId="af">
    <w:name w:val="批注主题 字符"/>
    <w:basedOn w:val="ad"/>
    <w:link w:val="ae"/>
    <w:uiPriority w:val="99"/>
    <w:semiHidden/>
    <w:rsid w:val="00E040A3"/>
    <w:rPr>
      <w:rFonts w:ascii="Times New Roman" w:eastAsia="宋体" w:hAnsi="Times New Roman" w:cs="Times New Roman"/>
      <w:b/>
      <w:bCs/>
      <w:sz w:val="24"/>
      <w:szCs w:val="24"/>
    </w:rPr>
  </w:style>
  <w:style w:type="paragraph" w:styleId="af0">
    <w:name w:val="Balloon Text"/>
    <w:basedOn w:val="a"/>
    <w:link w:val="af1"/>
    <w:uiPriority w:val="99"/>
    <w:semiHidden/>
    <w:unhideWhenUsed/>
    <w:rsid w:val="00E040A3"/>
    <w:rPr>
      <w:sz w:val="18"/>
      <w:szCs w:val="18"/>
    </w:rPr>
  </w:style>
  <w:style w:type="character" w:customStyle="1" w:styleId="af1">
    <w:name w:val="批注框文本 字符"/>
    <w:basedOn w:val="a0"/>
    <w:link w:val="af0"/>
    <w:uiPriority w:val="99"/>
    <w:semiHidden/>
    <w:rsid w:val="00E040A3"/>
    <w:rPr>
      <w:rFonts w:ascii="Times New Roman" w:eastAsia="宋体" w:hAnsi="Times New Roman" w:cs="Times New Roman"/>
      <w:sz w:val="18"/>
      <w:szCs w:val="18"/>
    </w:rPr>
  </w:style>
  <w:style w:type="paragraph" w:styleId="af2">
    <w:name w:val="Revision"/>
    <w:hidden/>
    <w:uiPriority w:val="99"/>
    <w:semiHidden/>
    <w:rsid w:val="008043BE"/>
    <w:rPr>
      <w:rFonts w:ascii="Times New Roman" w:eastAsia="宋体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95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1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2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5</Pages>
  <Words>359</Words>
  <Characters>2050</Characters>
  <Application>Microsoft Office Word</Application>
  <DocSecurity>0</DocSecurity>
  <Lines>17</Lines>
  <Paragraphs>4</Paragraphs>
  <ScaleCrop>false</ScaleCrop>
  <Company/>
  <LinksUpToDate>false</LinksUpToDate>
  <CharactersWithSpaces>2405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wei li</dc:creator>
  <cp:keywords/>
  <dc:description/>
  <cp:lastModifiedBy>wei li</cp:lastModifiedBy>
  <cp:revision>33</cp:revision>
  <dcterms:created xsi:type="dcterms:W3CDTF">2024-08-19T12:39:00Z</dcterms:created>
  <dcterms:modified xsi:type="dcterms:W3CDTF">2024-12-12T06:44:00Z</dcterms:modified>
</cp:coreProperties>
</file>